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sidR="00DA7B88">
        <w:rPr>
          <w:rFonts w:ascii="Arial" w:eastAsia="Batang" w:hAnsi="Arial" w:cs="Arial"/>
          <w:b/>
          <w:bCs/>
          <w:lang w:val="en-GB"/>
        </w:rPr>
        <w:t>112</w:t>
      </w:r>
      <w:r w:rsidR="00800470">
        <w:rPr>
          <w:rFonts w:ascii="Arial" w:eastAsia="Batang" w:hAnsi="Arial" w:cs="Arial"/>
          <w:b/>
          <w:bCs/>
          <w:lang w:val="en-GB"/>
        </w:rPr>
        <w:t>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sidR="00DA7B88">
        <w:rPr>
          <w:rFonts w:ascii="Arial" w:eastAsia="Batang" w:hAnsi="Arial" w:cs="Arial"/>
          <w:b/>
          <w:bCs/>
          <w:lang w:val="en-GB"/>
        </w:rPr>
        <w:t>3</w:t>
      </w:r>
      <w:r w:rsidR="008634E0">
        <w:rPr>
          <w:rFonts w:ascii="Arial" w:eastAsia="Batang" w:hAnsi="Arial" w:cs="Arial"/>
          <w:b/>
          <w:bCs/>
          <w:lang w:val="en-GB"/>
        </w:rPr>
        <w:t>03043</w:t>
      </w:r>
    </w:p>
    <w:p w:rsidR="00DA7B88" w:rsidRPr="00DA7B88" w:rsidRDefault="00B41273" w:rsidP="00DA7B88">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00800470" w:rsidRPr="00800470">
        <w:rPr>
          <w:rFonts w:ascii="Arial" w:eastAsia="Batang" w:hAnsi="Arial" w:cs="Arial" w:hint="eastAsia"/>
          <w:b/>
          <w:bCs/>
          <w:lang w:val="en-GB"/>
        </w:rPr>
        <w:t>A</w:t>
      </w:r>
      <w:r w:rsidR="00800470" w:rsidRPr="00800470">
        <w:rPr>
          <w:rFonts w:ascii="Arial" w:eastAsia="Batang" w:hAnsi="Arial" w:cs="Arial"/>
          <w:b/>
          <w:bCs/>
          <w:lang w:val="en-GB"/>
        </w:rPr>
        <w:t>pril 17</w:t>
      </w:r>
      <w:r w:rsidR="00800470" w:rsidRPr="00800470">
        <w:rPr>
          <w:rFonts w:ascii="Arial" w:eastAsia="Batang" w:hAnsi="Arial" w:cs="Arial"/>
          <w:b/>
          <w:bCs/>
          <w:vertAlign w:val="superscript"/>
          <w:lang w:val="en-GB"/>
        </w:rPr>
        <w:t>th</w:t>
      </w:r>
      <w:r w:rsidR="00800470" w:rsidRPr="00800470">
        <w:rPr>
          <w:rFonts w:ascii="Arial" w:eastAsia="Batang" w:hAnsi="Arial" w:cs="Arial"/>
          <w:b/>
          <w:bCs/>
          <w:lang w:val="en-GB"/>
        </w:rPr>
        <w:t xml:space="preserve"> – April 26</w:t>
      </w:r>
      <w:r w:rsidR="00800470" w:rsidRPr="00800470">
        <w:rPr>
          <w:rFonts w:ascii="Arial" w:eastAsia="Batang" w:hAnsi="Arial" w:cs="Arial"/>
          <w:b/>
          <w:bCs/>
          <w:vertAlign w:val="superscript"/>
          <w:lang w:val="en-GB"/>
        </w:rPr>
        <w:t>th</w:t>
      </w:r>
      <w:r w:rsidR="00800470" w:rsidRPr="00800470">
        <w:rPr>
          <w:rFonts w:ascii="Arial" w:eastAsia="Batang" w:hAnsi="Arial" w:cs="Arial"/>
          <w:b/>
          <w:bCs/>
          <w:lang w:val="en-GB"/>
        </w:rPr>
        <w:t>, 2023</w:t>
      </w:r>
    </w:p>
    <w:p w:rsidR="00253282" w:rsidRPr="00D86AA7" w:rsidRDefault="00253282" w:rsidP="00253282">
      <w:pPr>
        <w:tabs>
          <w:tab w:val="center" w:pos="4536"/>
          <w:tab w:val="right" w:pos="9072"/>
        </w:tabs>
        <w:rPr>
          <w:rFonts w:ascii="Arial" w:eastAsia="Batang" w:hAnsi="Arial" w:cs="Arial"/>
          <w:b/>
          <w:bCs/>
          <w:lang w:val="en-GB"/>
        </w:rPr>
      </w:pP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8406DC">
        <w:rPr>
          <w:sz w:val="22"/>
          <w:szCs w:val="22"/>
        </w:rPr>
        <w:t>7</w:t>
      </w:r>
      <w:r w:rsidR="00EB26B6">
        <w:rPr>
          <w:sz w:val="22"/>
          <w:szCs w:val="22"/>
        </w:rPr>
        <w:t>.</w:t>
      </w:r>
      <w:r w:rsidR="008406DC">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40DF2">
        <w:rPr>
          <w:sz w:val="22"/>
          <w:szCs w:val="22"/>
        </w:rPr>
        <w:t>Discussion</w:t>
      </w:r>
      <w:r w:rsidR="00EB26B6">
        <w:rPr>
          <w:sz w:val="22"/>
          <w:szCs w:val="22"/>
        </w:rPr>
        <w:t xml:space="preserve"> on </w:t>
      </w:r>
      <w:r w:rsidR="00A4683B">
        <w:rPr>
          <w:sz w:val="22"/>
          <w:szCs w:val="22"/>
        </w:rPr>
        <w:t>Action Delay for</w:t>
      </w:r>
      <w:r w:rsidR="00240DF2">
        <w:rPr>
          <w:sz w:val="22"/>
          <w:szCs w:val="22"/>
        </w:rPr>
        <w:t xml:space="preserve"> DCI based Unified TCI Indication</w:t>
      </w:r>
      <w:r w:rsidR="004A4ABF">
        <w:rPr>
          <w:sz w:val="22"/>
          <w:szCs w:val="22"/>
        </w:rPr>
        <w:t xml:space="preserve"> for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EB26B6" w:rsidRDefault="00EB26B6" w:rsidP="00557396">
      <w:pPr>
        <w:pStyle w:val="0Maintext"/>
        <w:spacing w:after="120" w:afterAutospacing="0" w:line="240" w:lineRule="auto"/>
        <w:ind w:firstLine="0"/>
        <w:rPr>
          <w:lang w:val="en-US"/>
        </w:rPr>
      </w:pPr>
      <w:r>
        <w:rPr>
          <w:lang w:val="en-US"/>
        </w:rPr>
        <w:t xml:space="preserve">In this contribution, we provide some discussions on the </w:t>
      </w:r>
      <w:r w:rsidR="00240DF2">
        <w:rPr>
          <w:lang w:val="en-US"/>
        </w:rPr>
        <w:t>potential issue for action delay for DCI based unified TCI indication for NTN</w:t>
      </w:r>
      <w:r w:rsidR="004D57C1">
        <w:rPr>
          <w:lang w:val="en-US"/>
        </w:rPr>
        <w:t>.</w:t>
      </w:r>
    </w:p>
    <w:p w:rsidR="001F1EBF" w:rsidRDefault="005B55AC" w:rsidP="001F1EBF">
      <w:pPr>
        <w:pStyle w:val="Heading1"/>
      </w:pPr>
      <w:r>
        <w:t>Discussion</w:t>
      </w:r>
    </w:p>
    <w:p w:rsidR="00240DF2" w:rsidRPr="00D0763A" w:rsidRDefault="00240DF2" w:rsidP="00240DF2">
      <w:pPr>
        <w:pStyle w:val="0Maintext"/>
        <w:spacing w:after="120" w:afterAutospacing="0" w:line="240" w:lineRule="auto"/>
        <w:ind w:firstLine="0"/>
        <w:rPr>
          <w:rFonts w:eastAsiaTheme="minorEastAsia"/>
          <w:lang w:val="en-US" w:eastAsia="zh-CN"/>
        </w:rPr>
      </w:pPr>
      <w:r>
        <w:rPr>
          <w:lang w:val="en-US"/>
        </w:rPr>
        <w:t xml:space="preserve">For MAC CE based TCI indication for NTN, the additional delay </w:t>
      </w:r>
      <w:proofErr w:type="spellStart"/>
      <w:r>
        <w:rPr>
          <w:lang w:val="en-US"/>
        </w:rPr>
        <w:t>Kmac</w:t>
      </w:r>
      <w:proofErr w:type="spellEnd"/>
      <w:r>
        <w:rPr>
          <w:lang w:val="en-US"/>
        </w:rPr>
        <w:t xml:space="preserve"> is introduced as the following spec in 38.214.</w:t>
      </w:r>
    </w:p>
    <w:tbl>
      <w:tblPr>
        <w:tblStyle w:val="TableGrid"/>
        <w:tblW w:w="0" w:type="auto"/>
        <w:tblLook w:val="04A0" w:firstRow="1" w:lastRow="0" w:firstColumn="1" w:lastColumn="0" w:noHBand="0" w:noVBand="1"/>
      </w:tblPr>
      <w:tblGrid>
        <w:gridCol w:w="9010"/>
      </w:tblGrid>
      <w:tr w:rsidR="00240DF2" w:rsidRPr="00240DF2" w:rsidTr="000F0D73">
        <w:tc>
          <w:tcPr>
            <w:tcW w:w="9010" w:type="dxa"/>
          </w:tcPr>
          <w:p w:rsidR="00240DF2" w:rsidRPr="00240DF2" w:rsidRDefault="00240DF2" w:rsidP="000F0D73">
            <w:pPr>
              <w:rPr>
                <w:color w:val="000000"/>
                <w:sz w:val="20"/>
                <w:szCs w:val="20"/>
              </w:rPr>
            </w:pPr>
            <w:r w:rsidRPr="00240DF2">
              <w:rPr>
                <w:color w:val="000000" w:themeColor="text1"/>
                <w:sz w:val="20"/>
                <w:szCs w:val="20"/>
              </w:rPr>
              <w:t xml:space="preserve">When the </w:t>
            </w:r>
            <w:r w:rsidRPr="00240DF2">
              <w:rPr>
                <w:sz w:val="20"/>
                <w:szCs w:val="20"/>
              </w:rPr>
              <w:t>UE would transmit a PUCCH with</w:t>
            </w:r>
            <w:r w:rsidRPr="00240DF2">
              <w:rPr>
                <w:color w:val="000000" w:themeColor="text1"/>
                <w:sz w:val="20"/>
                <w:szCs w:val="20"/>
              </w:rPr>
              <w:t xml:space="preserve"> HARQ-ACK </w:t>
            </w:r>
            <w:r w:rsidRPr="00240DF2">
              <w:rPr>
                <w:sz w:val="20"/>
                <w:szCs w:val="20"/>
              </w:rPr>
              <w:t xml:space="preserve">information in slot </w:t>
            </w:r>
            <w:r w:rsidRPr="00240DF2">
              <w:rPr>
                <w:i/>
                <w:sz w:val="20"/>
                <w:szCs w:val="20"/>
              </w:rPr>
              <w:t>n</w:t>
            </w:r>
            <w:r w:rsidRPr="00240DF2">
              <w:rPr>
                <w:color w:val="000000" w:themeColor="text1"/>
                <w:sz w:val="20"/>
                <w:szCs w:val="20"/>
              </w:rPr>
              <w:t xml:space="preserve"> corresponding to the PDSCH carrying the activation command, the indicated mapping between TCI states and codepoints of the DCI field </w:t>
            </w:r>
            <w:r w:rsidRPr="00240DF2">
              <w:rPr>
                <w:i/>
                <w:iCs/>
                <w:color w:val="000000" w:themeColor="text1"/>
                <w:sz w:val="20"/>
                <w:szCs w:val="20"/>
              </w:rPr>
              <w:t>'Transmission Configuration Indication'</w:t>
            </w:r>
            <w:r w:rsidRPr="00240DF2">
              <w:rPr>
                <w:color w:val="000000" w:themeColor="text1"/>
                <w:sz w:val="20"/>
                <w:szCs w:val="20"/>
              </w:rPr>
              <w:t xml:space="preserve"> should be applied starting from the first slot that is after slot</w:t>
            </w:r>
            <m:oMath>
              <m:r>
                <m:rPr>
                  <m:sty m:val="p"/>
                </m:rPr>
                <w:rPr>
                  <w:rFonts w:ascii="Cambria Math" w:hAnsi="Cambria Math"/>
                  <w:sz w:val="20"/>
                  <w:szCs w:val="20"/>
                </w:rPr>
                <m:t xml:space="preserve"> </m:t>
              </m:r>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lang w:val="x-none"/>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eastAsia="MS Mincho" w:hAnsi="Cambria Math"/>
                      <w:kern w:val="2"/>
                      <w:sz w:val="20"/>
                      <w:szCs w:val="20"/>
                    </w:rPr>
                    <m:t>∙</m:t>
                  </m:r>
                  <m:r>
                    <w:rPr>
                      <w:rFonts w:ascii="Cambria Math" w:hAnsi="Cambria Math"/>
                      <w:sz w:val="20"/>
                      <w:szCs w:val="20"/>
                    </w:rPr>
                    <m:t>k</m:t>
                  </m:r>
                </m:e>
                <m:sub>
                  <m:r>
                    <m:rPr>
                      <m:sty m:val="p"/>
                    </m:rPr>
                    <w:rPr>
                      <w:rFonts w:ascii="Cambria Math" w:hAnsi="Cambria Math"/>
                      <w:sz w:val="20"/>
                      <w:szCs w:val="20"/>
                    </w:rPr>
                    <m:t>mac</m:t>
                  </m:r>
                </m:sub>
              </m:sSub>
            </m:oMath>
            <w:r w:rsidRPr="00240DF2">
              <w:rPr>
                <w:sz w:val="20"/>
                <w:szCs w:val="20"/>
              </w:rPr>
              <w:t xml:space="preserve"> where </w:t>
            </w:r>
            <w:r w:rsidRPr="00240DF2">
              <w:rPr>
                <w:i/>
                <w:sz w:val="20"/>
                <w:szCs w:val="20"/>
              </w:rPr>
              <w:t></w:t>
            </w:r>
            <w:r w:rsidRPr="00240DF2">
              <w:rPr>
                <w:sz w:val="20"/>
                <w:szCs w:val="20"/>
              </w:rPr>
              <w:t xml:space="preserve"> is the SCS configuration for the PUCCH and</w:t>
            </w:r>
            <w:r w:rsidRPr="00240DF2">
              <w:rPr>
                <w:rFonts w:eastAsia="MS Mincho"/>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sidRPr="00240DF2">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sidRPr="00240DF2">
              <w:rPr>
                <w:sz w:val="20"/>
                <w:szCs w:val="20"/>
              </w:rPr>
              <w:t xml:space="preserve"> with a value of 0 for frequency range 1,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sidRPr="00240DF2">
              <w:rPr>
                <w:sz w:val="20"/>
                <w:szCs w:val="20"/>
              </w:rPr>
              <w:t xml:space="preserve"> is provided by </w:t>
            </w:r>
            <w:r w:rsidRPr="00240DF2">
              <w:rPr>
                <w:i/>
                <w:iCs/>
                <w:sz w:val="20"/>
                <w:szCs w:val="20"/>
              </w:rPr>
              <w:t>K-Mac</w:t>
            </w:r>
            <w:r w:rsidRPr="00240DF2">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sidRPr="00240DF2">
              <w:rPr>
                <w:sz w:val="20"/>
                <w:szCs w:val="20"/>
              </w:rPr>
              <w:t xml:space="preserve"> if </w:t>
            </w:r>
            <w:r w:rsidRPr="00240DF2">
              <w:rPr>
                <w:i/>
                <w:iCs/>
                <w:sz w:val="20"/>
                <w:szCs w:val="20"/>
              </w:rPr>
              <w:t>K-Mac</w:t>
            </w:r>
            <w:r w:rsidRPr="00240DF2">
              <w:rPr>
                <w:sz w:val="20"/>
                <w:szCs w:val="20"/>
              </w:rPr>
              <w:t xml:space="preserve"> is not provided. If </w:t>
            </w:r>
            <w:proofErr w:type="spellStart"/>
            <w:r w:rsidRPr="00240DF2">
              <w:rPr>
                <w:i/>
                <w:sz w:val="20"/>
                <w:szCs w:val="20"/>
              </w:rPr>
              <w:t>tci-PresentInDCI</w:t>
            </w:r>
            <w:proofErr w:type="spellEnd"/>
            <w:r w:rsidRPr="00240DF2">
              <w:rPr>
                <w:i/>
                <w:sz w:val="20"/>
                <w:szCs w:val="20"/>
              </w:rPr>
              <w:t xml:space="preserve"> </w:t>
            </w:r>
            <w:r w:rsidRPr="00240DF2">
              <w:rPr>
                <w:sz w:val="20"/>
                <w:szCs w:val="20"/>
              </w:rPr>
              <w:t xml:space="preserve">is set to 'enabled' or </w:t>
            </w:r>
            <w:r w:rsidRPr="00240DF2">
              <w:rPr>
                <w:i/>
                <w:sz w:val="20"/>
                <w:szCs w:val="20"/>
              </w:rPr>
              <w:t xml:space="preserve">tci-PresentDCI-1-2 </w:t>
            </w:r>
            <w:r w:rsidRPr="00240DF2">
              <w:rPr>
                <w:sz w:val="20"/>
                <w:szCs w:val="20"/>
              </w:rPr>
              <w:t>is configured for the CORESET scheduling the PDSCH</w:t>
            </w:r>
            <w:r w:rsidRPr="00240DF2">
              <w:rPr>
                <w:color w:val="000000" w:themeColor="text1"/>
                <w:sz w:val="20"/>
                <w:szCs w:val="20"/>
              </w:rPr>
              <w:t xml:space="preserve">, and the </w:t>
            </w:r>
            <w:r w:rsidRPr="00240DF2">
              <w:rPr>
                <w:color w:val="000000"/>
                <w:sz w:val="20"/>
                <w:szCs w:val="20"/>
              </w:rPr>
              <w:t>time offset between the reception of the DL DCI and the corresponding PDSCH is</w:t>
            </w:r>
            <w:r w:rsidRPr="00240DF2">
              <w:rPr>
                <w:color w:val="FF0000"/>
                <w:sz w:val="20"/>
                <w:szCs w:val="20"/>
              </w:rPr>
              <w:t xml:space="preserve"> </w:t>
            </w:r>
            <w:r w:rsidRPr="00240DF2">
              <w:rPr>
                <w:color w:val="000000" w:themeColor="text1"/>
                <w:sz w:val="20"/>
                <w:szCs w:val="20"/>
              </w:rPr>
              <w:t xml:space="preserve">equal to or greater than </w:t>
            </w:r>
            <w:proofErr w:type="spellStart"/>
            <w:r w:rsidRPr="00240DF2">
              <w:rPr>
                <w:i/>
                <w:color w:val="000000" w:themeColor="text1"/>
                <w:sz w:val="20"/>
                <w:szCs w:val="20"/>
              </w:rPr>
              <w:t>timeDurationForQCL</w:t>
            </w:r>
            <w:proofErr w:type="spellEnd"/>
            <w:r w:rsidRPr="00240DF2">
              <w:rPr>
                <w:i/>
                <w:color w:val="000000" w:themeColor="text1"/>
                <w:sz w:val="20"/>
                <w:szCs w:val="20"/>
              </w:rPr>
              <w:t xml:space="preserve"> </w:t>
            </w:r>
            <w:r w:rsidRPr="00240DF2">
              <w:rPr>
                <w:color w:val="000000" w:themeColor="text1"/>
                <w:sz w:val="20"/>
                <w:szCs w:val="20"/>
              </w:rPr>
              <w:t>if applicable,</w:t>
            </w:r>
            <w:r w:rsidRPr="00240DF2">
              <w:rPr>
                <w:sz w:val="20"/>
                <w:szCs w:val="20"/>
              </w:rPr>
              <w:t xml:space="preserve"> a</w:t>
            </w:r>
            <w:r w:rsidRPr="00240DF2">
              <w:rPr>
                <w:color w:val="000000"/>
                <w:sz w:val="20"/>
                <w:szCs w:val="2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240DF2">
              <w:rPr>
                <w:i/>
                <w:color w:val="000000"/>
                <w:sz w:val="20"/>
                <w:szCs w:val="20"/>
              </w:rPr>
              <w:t>qcl</w:t>
            </w:r>
            <w:proofErr w:type="spellEnd"/>
            <w:r w:rsidRPr="00240DF2">
              <w:rPr>
                <w:i/>
                <w:color w:val="000000"/>
                <w:sz w:val="20"/>
                <w:szCs w:val="20"/>
              </w:rPr>
              <w:t>-Type</w:t>
            </w:r>
            <w:r w:rsidRPr="00240DF2">
              <w:rPr>
                <w:color w:val="000000"/>
                <w:sz w:val="20"/>
                <w:szCs w:val="20"/>
              </w:rPr>
              <w:t xml:space="preserve"> set to '</w:t>
            </w:r>
            <w:proofErr w:type="spellStart"/>
            <w:r w:rsidRPr="00240DF2">
              <w:rPr>
                <w:color w:val="000000"/>
                <w:sz w:val="20"/>
                <w:szCs w:val="20"/>
              </w:rPr>
              <w:t>typeA</w:t>
            </w:r>
            <w:proofErr w:type="spellEnd"/>
            <w:r w:rsidRPr="00240DF2">
              <w:rPr>
                <w:color w:val="000000"/>
                <w:sz w:val="20"/>
                <w:szCs w:val="20"/>
              </w:rPr>
              <w:t xml:space="preserve">', and when applicable, also with respect to </w:t>
            </w:r>
            <w:proofErr w:type="spellStart"/>
            <w:r w:rsidRPr="00240DF2">
              <w:rPr>
                <w:i/>
                <w:color w:val="000000"/>
                <w:sz w:val="20"/>
                <w:szCs w:val="20"/>
              </w:rPr>
              <w:t>qcl</w:t>
            </w:r>
            <w:proofErr w:type="spellEnd"/>
            <w:r w:rsidRPr="00240DF2">
              <w:rPr>
                <w:i/>
                <w:color w:val="000000"/>
                <w:sz w:val="20"/>
                <w:szCs w:val="20"/>
              </w:rPr>
              <w:t>-Type</w:t>
            </w:r>
            <w:r w:rsidRPr="00240DF2">
              <w:rPr>
                <w:color w:val="000000"/>
                <w:sz w:val="20"/>
                <w:szCs w:val="20"/>
              </w:rPr>
              <w:t xml:space="preserve"> set to '</w:t>
            </w:r>
            <w:proofErr w:type="spellStart"/>
            <w:r w:rsidRPr="00240DF2">
              <w:rPr>
                <w:color w:val="000000"/>
                <w:sz w:val="20"/>
                <w:szCs w:val="20"/>
              </w:rPr>
              <w:t>typeD</w:t>
            </w:r>
            <w:proofErr w:type="spellEnd"/>
            <w:r w:rsidRPr="00240DF2">
              <w:rPr>
                <w:color w:val="000000"/>
                <w:sz w:val="20"/>
                <w:szCs w:val="20"/>
              </w:rPr>
              <w:t xml:space="preserve">'. </w:t>
            </w:r>
          </w:p>
          <w:p w:rsidR="00240DF2" w:rsidRPr="00240DF2" w:rsidRDefault="00240DF2" w:rsidP="000F0D73">
            <w:pPr>
              <w:pStyle w:val="B4"/>
              <w:spacing w:after="0" w:line="240" w:lineRule="auto"/>
              <w:ind w:left="0" w:firstLine="0"/>
              <w:rPr>
                <w:szCs w:val="20"/>
              </w:rPr>
            </w:pPr>
          </w:p>
        </w:tc>
      </w:tr>
    </w:tbl>
    <w:p w:rsidR="00240DF2" w:rsidRDefault="00240DF2" w:rsidP="00240DF2">
      <w:pPr>
        <w:pStyle w:val="0Maintext"/>
        <w:spacing w:after="120" w:afterAutospacing="0" w:line="240" w:lineRule="auto"/>
        <w:ind w:firstLine="0"/>
        <w:rPr>
          <w:lang w:val="en-US"/>
        </w:rPr>
      </w:pPr>
    </w:p>
    <w:p w:rsidR="00240DF2" w:rsidRDefault="00240DF2" w:rsidP="00240DF2">
      <w:pPr>
        <w:pStyle w:val="0Maintext"/>
        <w:spacing w:after="120" w:afterAutospacing="0" w:line="240" w:lineRule="auto"/>
        <w:ind w:firstLine="0"/>
        <w:rPr>
          <w:lang w:val="en-US"/>
        </w:rPr>
      </w:pPr>
      <w:r>
        <w:rPr>
          <w:lang w:val="en-US"/>
        </w:rPr>
        <w:t xml:space="preserve">However, currently, there is no additional delay for NTN included for DCI based beam indication, and the relevant spec is defined as follows, and the maximum value of </w:t>
      </w:r>
      <w:proofErr w:type="spellStart"/>
      <w:r w:rsidRPr="00240DF2">
        <w:rPr>
          <w:i/>
          <w:iCs/>
          <w:lang w:val="en-US"/>
        </w:rPr>
        <w:t>beamAppTime</w:t>
      </w:r>
      <w:proofErr w:type="spellEnd"/>
      <w:r>
        <w:rPr>
          <w:lang w:val="en-US"/>
        </w:rPr>
        <w:t xml:space="preserve"> is 336 symbols, which could be much smaller than </w:t>
      </w:r>
      <w:proofErr w:type="spellStart"/>
      <w:r>
        <w:rPr>
          <w:lang w:val="en-US"/>
        </w:rPr>
        <w:t>Kmac</w:t>
      </w:r>
      <w:proofErr w:type="spellEnd"/>
      <w:r>
        <w:rPr>
          <w:lang w:val="en-US"/>
        </w:rPr>
        <w:t xml:space="preserve"> with the maximum value of 512 slots.</w:t>
      </w:r>
    </w:p>
    <w:tbl>
      <w:tblPr>
        <w:tblStyle w:val="TableGrid"/>
        <w:tblW w:w="0" w:type="auto"/>
        <w:tblLook w:val="04A0" w:firstRow="1" w:lastRow="0" w:firstColumn="1" w:lastColumn="0" w:noHBand="0" w:noVBand="1"/>
      </w:tblPr>
      <w:tblGrid>
        <w:gridCol w:w="9010"/>
      </w:tblGrid>
      <w:tr w:rsidR="00240DF2" w:rsidRPr="00240DF2" w:rsidTr="000F0D73">
        <w:tc>
          <w:tcPr>
            <w:tcW w:w="9010" w:type="dxa"/>
          </w:tcPr>
          <w:p w:rsidR="00240DF2" w:rsidRPr="00240DF2" w:rsidRDefault="00240DF2" w:rsidP="000F0D73">
            <w:pPr>
              <w:rPr>
                <w:sz w:val="20"/>
                <w:szCs w:val="20"/>
              </w:rPr>
            </w:pPr>
            <w:r w:rsidRPr="00240DF2">
              <w:rPr>
                <w:color w:val="000000" w:themeColor="text1"/>
                <w:sz w:val="20"/>
                <w:szCs w:val="20"/>
              </w:rPr>
              <w:t xml:space="preserve">When a UE configured with </w:t>
            </w:r>
            <w:r w:rsidRPr="00240DF2">
              <w:rPr>
                <w:i/>
                <w:iCs/>
                <w:color w:val="000000"/>
                <w:sz w:val="20"/>
                <w:szCs w:val="20"/>
              </w:rPr>
              <w:t>dl-</w:t>
            </w:r>
            <w:proofErr w:type="spellStart"/>
            <w:r w:rsidRPr="00240DF2">
              <w:rPr>
                <w:i/>
                <w:iCs/>
                <w:color w:val="000000"/>
                <w:sz w:val="20"/>
                <w:szCs w:val="20"/>
              </w:rPr>
              <w:t>OrJoint</w:t>
            </w:r>
            <w:proofErr w:type="spellEnd"/>
            <w:r w:rsidRPr="00240DF2">
              <w:rPr>
                <w:i/>
                <w:iCs/>
                <w:color w:val="000000"/>
                <w:sz w:val="20"/>
                <w:szCs w:val="20"/>
              </w:rPr>
              <w:t>-</w:t>
            </w:r>
            <w:proofErr w:type="spellStart"/>
            <w:r w:rsidRPr="00240DF2">
              <w:rPr>
                <w:i/>
                <w:iCs/>
                <w:color w:val="000000"/>
                <w:sz w:val="20"/>
                <w:szCs w:val="20"/>
              </w:rPr>
              <w:t>TCIStateList</w:t>
            </w:r>
            <w:proofErr w:type="spellEnd"/>
            <w:r w:rsidRPr="00240DF2">
              <w:rPr>
                <w:sz w:val="20"/>
                <w:szCs w:val="20"/>
              </w:rPr>
              <w:t xml:space="preserve"> would transmit a PUCCH with</w:t>
            </w:r>
            <w:r w:rsidRPr="00240DF2">
              <w:rPr>
                <w:color w:val="000000" w:themeColor="text1"/>
                <w:sz w:val="20"/>
                <w:szCs w:val="20"/>
              </w:rPr>
              <w:t xml:space="preserve"> HARQ-ACK </w:t>
            </w:r>
            <w:r w:rsidRPr="00240DF2">
              <w:rPr>
                <w:sz w:val="20"/>
                <w:szCs w:val="20"/>
              </w:rPr>
              <w:t xml:space="preserve">information or a PUSCH with HARQ-ACK information </w:t>
            </w:r>
            <w:r w:rsidRPr="00240DF2">
              <w:rPr>
                <w:color w:val="000000" w:themeColor="text1"/>
                <w:sz w:val="20"/>
                <w:szCs w:val="20"/>
              </w:rPr>
              <w:t xml:space="preserve">corresponding to the DCI carrying the TCI State indication </w:t>
            </w:r>
            <w:r w:rsidRPr="00240DF2">
              <w:rPr>
                <w:color w:val="000000" w:themeColor="text1"/>
                <w:sz w:val="20"/>
                <w:szCs w:val="20"/>
                <w:shd w:val="clear" w:color="auto" w:fill="FFFFFF"/>
              </w:rPr>
              <w:t xml:space="preserve">and without DL assignment, or corresponding to the PDSCH scheduled by the DCI carrying the </w:t>
            </w:r>
            <w:r w:rsidRPr="00240DF2">
              <w:rPr>
                <w:color w:val="000000" w:themeColor="text1"/>
                <w:sz w:val="20"/>
                <w:szCs w:val="20"/>
              </w:rPr>
              <w:t>TCI State</w:t>
            </w:r>
            <w:r w:rsidRPr="00240DF2">
              <w:rPr>
                <w:color w:val="000000" w:themeColor="text1"/>
                <w:sz w:val="20"/>
                <w:szCs w:val="20"/>
                <w:shd w:val="clear" w:color="auto" w:fill="FFFFFF"/>
              </w:rPr>
              <w:t xml:space="preserve"> indication, </w:t>
            </w:r>
            <w:r w:rsidRPr="00240DF2">
              <w:rPr>
                <w:color w:val="000000" w:themeColor="text1"/>
                <w:sz w:val="20"/>
                <w:szCs w:val="20"/>
              </w:rPr>
              <w:t>and if the indicated TCI State is different from the previously indicated one, the indicated</w:t>
            </w:r>
            <w:r w:rsidRPr="00240DF2">
              <w:rPr>
                <w:i/>
                <w:iCs/>
                <w:color w:val="000000" w:themeColor="text1"/>
                <w:sz w:val="20"/>
                <w:szCs w:val="20"/>
              </w:rPr>
              <w:t xml:space="preserve"> </w:t>
            </w:r>
            <w:r w:rsidRPr="00240DF2">
              <w:rPr>
                <w:rStyle w:val="Emphasis"/>
                <w:color w:val="000000" w:themeColor="text1"/>
                <w:sz w:val="20"/>
                <w:szCs w:val="20"/>
              </w:rPr>
              <w:t>TCI-State</w:t>
            </w:r>
            <w:r w:rsidRPr="00240DF2">
              <w:rPr>
                <w:color w:val="000000" w:themeColor="text1"/>
                <w:sz w:val="20"/>
                <w:szCs w:val="20"/>
              </w:rPr>
              <w:t xml:space="preserve"> and/or</w:t>
            </w:r>
            <w:r w:rsidRPr="00240DF2">
              <w:rPr>
                <w:i/>
                <w:iCs/>
                <w:color w:val="000000" w:themeColor="text1"/>
                <w:sz w:val="20"/>
                <w:szCs w:val="20"/>
              </w:rPr>
              <w:t xml:space="preserve"> TCI-UL-State</w:t>
            </w:r>
            <w:r w:rsidRPr="00240DF2">
              <w:rPr>
                <w:i/>
                <w:iCs/>
                <w:color w:val="000000"/>
                <w:sz w:val="20"/>
                <w:szCs w:val="20"/>
              </w:rPr>
              <w:t xml:space="preserve"> </w:t>
            </w:r>
            <w:r w:rsidRPr="00240DF2">
              <w:rPr>
                <w:color w:val="000000" w:themeColor="text1"/>
                <w:sz w:val="20"/>
                <w:szCs w:val="20"/>
              </w:rPr>
              <w:t xml:space="preserve">should be applied starting from the first slot that is at least </w:t>
            </w:r>
            <m:oMath>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beamAppTime</m:t>
              </m:r>
            </m:oMath>
            <w:r w:rsidRPr="00240DF2">
              <w:rPr>
                <w:sz w:val="20"/>
                <w:szCs w:val="20"/>
              </w:rPr>
              <w:t xml:space="preserve"> symbols after the last symbol of the PUC</w:t>
            </w:r>
            <w:r w:rsidRPr="00240DF2">
              <w:rPr>
                <w:color w:val="000000" w:themeColor="text1"/>
                <w:sz w:val="20"/>
                <w:szCs w:val="20"/>
              </w:rPr>
              <w:t xml:space="preserve">CH or the PUSCH. The first slot and the </w:t>
            </w:r>
            <m:oMath>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beamAppTime</m:t>
              </m:r>
            </m:oMath>
            <w:r w:rsidRPr="00240DF2">
              <w:rPr>
                <w:sz w:val="20"/>
                <w:szCs w:val="20"/>
              </w:rPr>
              <w:t xml:space="preserve"> symbols are both determined on the active BWP with the smallest SCS among the BWP(s) from the CCs applying the </w:t>
            </w:r>
            <w:r w:rsidRPr="00240DF2">
              <w:rPr>
                <w:color w:val="000000" w:themeColor="text1"/>
                <w:sz w:val="20"/>
                <w:szCs w:val="20"/>
              </w:rPr>
              <w:t>indicated</w:t>
            </w:r>
            <w:r w:rsidRPr="00240DF2">
              <w:rPr>
                <w:i/>
                <w:iCs/>
                <w:color w:val="000000" w:themeColor="text1"/>
                <w:sz w:val="20"/>
                <w:szCs w:val="20"/>
              </w:rPr>
              <w:t xml:space="preserve"> </w:t>
            </w:r>
            <w:r w:rsidRPr="00240DF2">
              <w:rPr>
                <w:i/>
                <w:iCs/>
                <w:color w:val="000000"/>
                <w:sz w:val="20"/>
                <w:szCs w:val="20"/>
              </w:rPr>
              <w:t>TCI-State</w:t>
            </w:r>
            <w:r w:rsidRPr="00240DF2">
              <w:rPr>
                <w:color w:val="000000"/>
                <w:sz w:val="20"/>
                <w:szCs w:val="20"/>
              </w:rPr>
              <w:t xml:space="preserve"> or </w:t>
            </w:r>
            <w:r w:rsidRPr="00240DF2">
              <w:rPr>
                <w:i/>
                <w:iCs/>
                <w:color w:val="000000"/>
                <w:sz w:val="20"/>
                <w:szCs w:val="20"/>
              </w:rPr>
              <w:t>TCI-UL-State</w:t>
            </w:r>
            <w:r w:rsidRPr="00240DF2">
              <w:rPr>
                <w:sz w:val="20"/>
                <w:szCs w:val="20"/>
              </w:rPr>
              <w:t xml:space="preserve"> that are active at the end of the PUCCH or the PUSCH carrying the HARQ-ACK information. </w:t>
            </w:r>
          </w:p>
          <w:p w:rsidR="00240DF2" w:rsidRPr="00240DF2" w:rsidRDefault="00240DF2" w:rsidP="000F0D73">
            <w:pPr>
              <w:pStyle w:val="0Maintext"/>
              <w:spacing w:after="120" w:afterAutospacing="0" w:line="240" w:lineRule="auto"/>
              <w:ind w:firstLine="0"/>
              <w:rPr>
                <w:rFonts w:cs="Times New Roman"/>
                <w:lang w:val="en-US"/>
              </w:rPr>
            </w:pPr>
          </w:p>
        </w:tc>
      </w:tr>
    </w:tbl>
    <w:p w:rsidR="00240DF2" w:rsidRDefault="00240DF2" w:rsidP="00240DF2">
      <w:pPr>
        <w:pStyle w:val="0Maintext"/>
        <w:spacing w:after="120" w:afterAutospacing="0" w:line="240" w:lineRule="auto"/>
        <w:ind w:firstLine="0"/>
        <w:rPr>
          <w:lang w:val="en-US"/>
        </w:rPr>
      </w:pPr>
    </w:p>
    <w:p w:rsidR="00240DF2" w:rsidRDefault="00240DF2" w:rsidP="00240DF2">
      <w:pPr>
        <w:pStyle w:val="0Maintext"/>
        <w:spacing w:after="120" w:afterAutospacing="0" w:line="240" w:lineRule="auto"/>
        <w:ind w:firstLine="0"/>
        <w:rPr>
          <w:lang w:val="en-US"/>
        </w:rPr>
      </w:pPr>
      <w:r>
        <w:rPr>
          <w:lang w:val="en-US"/>
        </w:rPr>
        <w:t>The DCI based unified TCI indication shares the similar procedure as MAC CE based unified TCI indication. As shown in Figure 1, if the propagation delay is too large, the</w:t>
      </w:r>
      <w:r w:rsidR="003D0694">
        <w:rPr>
          <w:lang w:val="en-US"/>
        </w:rPr>
        <w:t>re could be potential beam mismatch between the network and UE on the applied TCI after the UE transmits the ACK. Therefore, similar to MAC CE based TCI indication, additional delay for DCI based TCI indication should be introduced for NTN.</w:t>
      </w:r>
    </w:p>
    <w:p w:rsidR="003D0694" w:rsidRDefault="003D0694" w:rsidP="003D0694">
      <w:pPr>
        <w:pStyle w:val="0Maintext"/>
        <w:spacing w:after="120" w:afterAutospacing="0" w:line="240" w:lineRule="auto"/>
        <w:ind w:firstLine="0"/>
        <w:jc w:val="center"/>
        <w:rPr>
          <w:lang w:val="en-US"/>
        </w:rPr>
      </w:pPr>
      <w:r w:rsidRPr="003D0694">
        <w:rPr>
          <w:noProof/>
          <w:lang w:val="en-US"/>
        </w:rPr>
        <w:lastRenderedPageBreak/>
        <w:drawing>
          <wp:inline distT="0" distB="0" distL="0" distR="0" wp14:anchorId="2BB3C4C5" wp14:editId="41B78390">
            <wp:extent cx="5727700" cy="2620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620010"/>
                    </a:xfrm>
                    <a:prstGeom prst="rect">
                      <a:avLst/>
                    </a:prstGeom>
                  </pic:spPr>
                </pic:pic>
              </a:graphicData>
            </a:graphic>
          </wp:inline>
        </w:drawing>
      </w:r>
    </w:p>
    <w:p w:rsidR="003D0694" w:rsidRPr="003D0694" w:rsidRDefault="003D0694" w:rsidP="003D0694">
      <w:pPr>
        <w:pStyle w:val="0Maintext"/>
        <w:spacing w:after="120" w:afterAutospacing="0" w:line="240" w:lineRule="auto"/>
        <w:ind w:firstLine="0"/>
        <w:jc w:val="center"/>
        <w:rPr>
          <w:b/>
          <w:bCs/>
          <w:lang w:val="en-US"/>
        </w:rPr>
      </w:pPr>
      <w:r w:rsidRPr="003D0694">
        <w:rPr>
          <w:b/>
          <w:bCs/>
          <w:lang w:val="en-US"/>
        </w:rPr>
        <w:t>Figure 1: A potential issue for DCI based unified TCI indication in NTN</w:t>
      </w:r>
    </w:p>
    <w:p w:rsidR="00240DF2" w:rsidRDefault="00240DF2" w:rsidP="004D57C1">
      <w:pPr>
        <w:pStyle w:val="0Maintext"/>
        <w:spacing w:after="120" w:afterAutospacing="0" w:line="240" w:lineRule="auto"/>
        <w:ind w:firstLine="0"/>
        <w:rPr>
          <w:lang w:val="en-US"/>
        </w:rPr>
      </w:pPr>
    </w:p>
    <w:p w:rsidR="001754C8" w:rsidRPr="001754C8" w:rsidRDefault="001754C8" w:rsidP="004D57C1">
      <w:pPr>
        <w:pStyle w:val="0Maintext"/>
        <w:spacing w:after="120" w:afterAutospacing="0" w:line="240" w:lineRule="auto"/>
        <w:ind w:firstLine="0"/>
        <w:rPr>
          <w:b/>
          <w:bCs/>
          <w:i/>
          <w:iCs/>
          <w:lang w:val="en-US"/>
        </w:rPr>
      </w:pPr>
      <w:r w:rsidRPr="001754C8">
        <w:rPr>
          <w:b/>
          <w:bCs/>
          <w:i/>
          <w:iCs/>
          <w:lang w:val="en-US"/>
        </w:rPr>
        <w:t xml:space="preserve">Proposal 1: </w:t>
      </w:r>
      <w:r w:rsidR="003D0694">
        <w:rPr>
          <w:b/>
          <w:bCs/>
          <w:i/>
          <w:iCs/>
          <w:lang w:val="en-US"/>
        </w:rPr>
        <w:t>Define additional delay for DCI based TCI indication for NTN, which is similar to MAC CE based TCI indication and endorse the draft CR R1-</w:t>
      </w:r>
      <w:r w:rsidR="00A95FBC">
        <w:rPr>
          <w:b/>
          <w:bCs/>
          <w:i/>
          <w:iCs/>
          <w:lang w:val="en-US"/>
        </w:rPr>
        <w:t>2303042</w:t>
      </w:r>
      <w:r w:rsidRPr="001754C8">
        <w:rPr>
          <w:b/>
          <w:bCs/>
          <w:i/>
          <w:iCs/>
          <w:lang w:val="en-US"/>
        </w:rPr>
        <w:t>.</w:t>
      </w:r>
    </w:p>
    <w:p w:rsidR="00C42331" w:rsidRPr="0061491E" w:rsidRDefault="00C42331"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754C8">
        <w:rPr>
          <w:lang w:val="en-US" w:eastAsia="zh-CN"/>
        </w:rPr>
        <w:t xml:space="preserve">clarification for </w:t>
      </w:r>
      <w:r w:rsidR="003D0694">
        <w:rPr>
          <w:lang w:val="en-US"/>
        </w:rPr>
        <w:t>action delay for DCI based unified TCI indication for NTN</w:t>
      </w:r>
      <w:r>
        <w:rPr>
          <w:lang w:val="en-US" w:eastAsia="zh-CN"/>
        </w:rPr>
        <w:t>. Based on the discussion, the following proposals have been achieved.</w:t>
      </w:r>
    </w:p>
    <w:p w:rsidR="003D0694" w:rsidRPr="001754C8" w:rsidRDefault="003D0694" w:rsidP="003D0694">
      <w:pPr>
        <w:pStyle w:val="0Maintext"/>
        <w:spacing w:after="120" w:afterAutospacing="0" w:line="240" w:lineRule="auto"/>
        <w:ind w:firstLine="0"/>
        <w:rPr>
          <w:b/>
          <w:bCs/>
          <w:i/>
          <w:iCs/>
          <w:lang w:val="en-US"/>
        </w:rPr>
      </w:pPr>
      <w:r w:rsidRPr="001754C8">
        <w:rPr>
          <w:b/>
          <w:bCs/>
          <w:i/>
          <w:iCs/>
          <w:lang w:val="en-US"/>
        </w:rPr>
        <w:t xml:space="preserve">Proposal 1: </w:t>
      </w:r>
      <w:r>
        <w:rPr>
          <w:b/>
          <w:bCs/>
          <w:i/>
          <w:iCs/>
          <w:lang w:val="en-US"/>
        </w:rPr>
        <w:t>Define additional delay for DCI based TCI indication for NTN, which is similar to MAC CE based TCI indication and endorse the draft CR R1-</w:t>
      </w:r>
      <w:r w:rsidR="00A95FBC">
        <w:rPr>
          <w:b/>
          <w:bCs/>
          <w:i/>
          <w:iCs/>
          <w:lang w:val="en-US"/>
        </w:rPr>
        <w:t>2303042</w:t>
      </w:r>
      <w:r w:rsidRPr="001754C8">
        <w:rPr>
          <w:b/>
          <w:bCs/>
          <w:i/>
          <w:iCs/>
          <w:lang w:val="en-US"/>
        </w:rPr>
        <w:t>.</w:t>
      </w:r>
    </w:p>
    <w:p w:rsidR="00FF28A9" w:rsidRPr="00F92E33" w:rsidRDefault="00FF28A9" w:rsidP="00C42331">
      <w:pPr>
        <w:pStyle w:val="0Maintext"/>
        <w:spacing w:after="120" w:afterAutospacing="0" w:line="240" w:lineRule="auto"/>
        <w:ind w:firstLine="0"/>
        <w:rPr>
          <w:b/>
          <w:i/>
          <w:lang w:val="en-US"/>
        </w:rPr>
      </w:pPr>
    </w:p>
    <w:sectPr w:rsidR="00FF28A9"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EE1DB7"/>
    <w:multiLevelType w:val="hybridMultilevel"/>
    <w:tmpl w:val="4D08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3"/>
  </w:num>
  <w:num w:numId="3" w16cid:durableId="1291010930">
    <w:abstractNumId w:val="17"/>
  </w:num>
  <w:num w:numId="4" w16cid:durableId="1095134973">
    <w:abstractNumId w:val="16"/>
  </w:num>
  <w:num w:numId="5" w16cid:durableId="1641223975">
    <w:abstractNumId w:val="9"/>
  </w:num>
  <w:num w:numId="6" w16cid:durableId="564610010">
    <w:abstractNumId w:val="20"/>
  </w:num>
  <w:num w:numId="7" w16cid:durableId="577132295">
    <w:abstractNumId w:val="4"/>
  </w:num>
  <w:num w:numId="8" w16cid:durableId="617444232">
    <w:abstractNumId w:val="8"/>
  </w:num>
  <w:num w:numId="9" w16cid:durableId="1741826848">
    <w:abstractNumId w:val="15"/>
  </w:num>
  <w:num w:numId="10" w16cid:durableId="204176157">
    <w:abstractNumId w:val="21"/>
  </w:num>
  <w:num w:numId="11" w16cid:durableId="2075464340">
    <w:abstractNumId w:val="26"/>
  </w:num>
  <w:num w:numId="12" w16cid:durableId="134567778">
    <w:abstractNumId w:val="11"/>
  </w:num>
  <w:num w:numId="13" w16cid:durableId="1036003743">
    <w:abstractNumId w:val="19"/>
  </w:num>
  <w:num w:numId="14" w16cid:durableId="1516190854">
    <w:abstractNumId w:val="3"/>
  </w:num>
  <w:num w:numId="15" w16cid:durableId="667904329">
    <w:abstractNumId w:val="25"/>
  </w:num>
  <w:num w:numId="16" w16cid:durableId="749228951">
    <w:abstractNumId w:val="22"/>
  </w:num>
  <w:num w:numId="17" w16cid:durableId="654139330">
    <w:abstractNumId w:val="23"/>
  </w:num>
  <w:num w:numId="18" w16cid:durableId="37442205">
    <w:abstractNumId w:val="18"/>
  </w:num>
  <w:num w:numId="19" w16cid:durableId="452796089">
    <w:abstractNumId w:val="17"/>
  </w:num>
  <w:num w:numId="20" w16cid:durableId="947349516">
    <w:abstractNumId w:val="12"/>
  </w:num>
  <w:num w:numId="21" w16cid:durableId="123163289">
    <w:abstractNumId w:val="6"/>
  </w:num>
  <w:num w:numId="22" w16cid:durableId="892035091">
    <w:abstractNumId w:val="5"/>
  </w:num>
  <w:num w:numId="23" w16cid:durableId="1978486">
    <w:abstractNumId w:val="2"/>
  </w:num>
  <w:num w:numId="24" w16cid:durableId="1452360992">
    <w:abstractNumId w:val="7"/>
  </w:num>
  <w:num w:numId="25" w16cid:durableId="501893973">
    <w:abstractNumId w:val="14"/>
  </w:num>
  <w:num w:numId="26" w16cid:durableId="766006395">
    <w:abstractNumId w:val="1"/>
  </w:num>
  <w:num w:numId="27" w16cid:durableId="700981669">
    <w:abstractNumId w:val="24"/>
  </w:num>
  <w:num w:numId="28" w16cid:durableId="211697638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039"/>
    <w:rsid w:val="00122C70"/>
    <w:rsid w:val="0015468B"/>
    <w:rsid w:val="001754C8"/>
    <w:rsid w:val="001922F1"/>
    <w:rsid w:val="001D3923"/>
    <w:rsid w:val="001D7163"/>
    <w:rsid w:val="001E1D5D"/>
    <w:rsid w:val="001E4CFE"/>
    <w:rsid w:val="001F1EBF"/>
    <w:rsid w:val="00226209"/>
    <w:rsid w:val="00240DF2"/>
    <w:rsid w:val="00253282"/>
    <w:rsid w:val="002548E6"/>
    <w:rsid w:val="00275881"/>
    <w:rsid w:val="002D719B"/>
    <w:rsid w:val="00303A87"/>
    <w:rsid w:val="0030732C"/>
    <w:rsid w:val="00330D34"/>
    <w:rsid w:val="00346E6B"/>
    <w:rsid w:val="00356E4B"/>
    <w:rsid w:val="00375357"/>
    <w:rsid w:val="003976BE"/>
    <w:rsid w:val="003C00AB"/>
    <w:rsid w:val="003D0694"/>
    <w:rsid w:val="003D2036"/>
    <w:rsid w:val="003D4627"/>
    <w:rsid w:val="003F4028"/>
    <w:rsid w:val="00417C58"/>
    <w:rsid w:val="00431006"/>
    <w:rsid w:val="00431501"/>
    <w:rsid w:val="00431BE9"/>
    <w:rsid w:val="00477892"/>
    <w:rsid w:val="00491EBA"/>
    <w:rsid w:val="004951DA"/>
    <w:rsid w:val="004A4ABF"/>
    <w:rsid w:val="004B588D"/>
    <w:rsid w:val="004C6180"/>
    <w:rsid w:val="004C65E3"/>
    <w:rsid w:val="004D57C1"/>
    <w:rsid w:val="0050593E"/>
    <w:rsid w:val="00557396"/>
    <w:rsid w:val="005635BB"/>
    <w:rsid w:val="005A2726"/>
    <w:rsid w:val="005B55AC"/>
    <w:rsid w:val="00606763"/>
    <w:rsid w:val="0061491E"/>
    <w:rsid w:val="00640857"/>
    <w:rsid w:val="00660865"/>
    <w:rsid w:val="00687F40"/>
    <w:rsid w:val="006A5206"/>
    <w:rsid w:val="006E53C6"/>
    <w:rsid w:val="006F4725"/>
    <w:rsid w:val="0070353E"/>
    <w:rsid w:val="00751477"/>
    <w:rsid w:val="007520FE"/>
    <w:rsid w:val="00763A34"/>
    <w:rsid w:val="00781DD5"/>
    <w:rsid w:val="00792998"/>
    <w:rsid w:val="007A63FA"/>
    <w:rsid w:val="007B3C24"/>
    <w:rsid w:val="007F3937"/>
    <w:rsid w:val="00800470"/>
    <w:rsid w:val="00826E9C"/>
    <w:rsid w:val="008406DC"/>
    <w:rsid w:val="00843244"/>
    <w:rsid w:val="008443A3"/>
    <w:rsid w:val="008634E0"/>
    <w:rsid w:val="008766FE"/>
    <w:rsid w:val="008864BC"/>
    <w:rsid w:val="008A6337"/>
    <w:rsid w:val="008C065D"/>
    <w:rsid w:val="008D04EC"/>
    <w:rsid w:val="008D4BCD"/>
    <w:rsid w:val="008E42B2"/>
    <w:rsid w:val="008E7132"/>
    <w:rsid w:val="00905082"/>
    <w:rsid w:val="00906A9A"/>
    <w:rsid w:val="00914B21"/>
    <w:rsid w:val="00922457"/>
    <w:rsid w:val="009366FD"/>
    <w:rsid w:val="00953F61"/>
    <w:rsid w:val="009B0A18"/>
    <w:rsid w:val="009C1B6C"/>
    <w:rsid w:val="009C1CAB"/>
    <w:rsid w:val="009D0133"/>
    <w:rsid w:val="009E3DB7"/>
    <w:rsid w:val="009E5063"/>
    <w:rsid w:val="009F2D93"/>
    <w:rsid w:val="009F6087"/>
    <w:rsid w:val="00A17BEA"/>
    <w:rsid w:val="00A316C9"/>
    <w:rsid w:val="00A42238"/>
    <w:rsid w:val="00A448D2"/>
    <w:rsid w:val="00A4683B"/>
    <w:rsid w:val="00A90297"/>
    <w:rsid w:val="00A93065"/>
    <w:rsid w:val="00A95FBC"/>
    <w:rsid w:val="00AA2E73"/>
    <w:rsid w:val="00AC0A67"/>
    <w:rsid w:val="00AD4009"/>
    <w:rsid w:val="00AE467A"/>
    <w:rsid w:val="00B01671"/>
    <w:rsid w:val="00B02C9F"/>
    <w:rsid w:val="00B1188E"/>
    <w:rsid w:val="00B3722D"/>
    <w:rsid w:val="00B41273"/>
    <w:rsid w:val="00B71A0E"/>
    <w:rsid w:val="00B8306C"/>
    <w:rsid w:val="00B93343"/>
    <w:rsid w:val="00B95547"/>
    <w:rsid w:val="00BA48C8"/>
    <w:rsid w:val="00BE15BB"/>
    <w:rsid w:val="00C031C3"/>
    <w:rsid w:val="00C03A21"/>
    <w:rsid w:val="00C04D65"/>
    <w:rsid w:val="00C10D36"/>
    <w:rsid w:val="00C132FE"/>
    <w:rsid w:val="00C1419D"/>
    <w:rsid w:val="00C27E72"/>
    <w:rsid w:val="00C42331"/>
    <w:rsid w:val="00C46EAA"/>
    <w:rsid w:val="00C60D93"/>
    <w:rsid w:val="00C9103E"/>
    <w:rsid w:val="00C9405F"/>
    <w:rsid w:val="00CB1727"/>
    <w:rsid w:val="00CF6D54"/>
    <w:rsid w:val="00D0763A"/>
    <w:rsid w:val="00D13E1E"/>
    <w:rsid w:val="00D1450B"/>
    <w:rsid w:val="00D518D9"/>
    <w:rsid w:val="00D542B4"/>
    <w:rsid w:val="00D616A3"/>
    <w:rsid w:val="00D719D5"/>
    <w:rsid w:val="00D734BD"/>
    <w:rsid w:val="00D97433"/>
    <w:rsid w:val="00DA2FD9"/>
    <w:rsid w:val="00DA6558"/>
    <w:rsid w:val="00DA7B88"/>
    <w:rsid w:val="00DC01E8"/>
    <w:rsid w:val="00DC200A"/>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26B6"/>
    <w:rsid w:val="00EF1059"/>
    <w:rsid w:val="00F237C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7692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 w:type="paragraph" w:customStyle="1" w:styleId="B4">
    <w:name w:val="B4"/>
    <w:basedOn w:val="Normal"/>
    <w:qFormat/>
    <w:rsid w:val="00EB26B6"/>
    <w:pPr>
      <w:spacing w:after="200" w:line="276" w:lineRule="auto"/>
      <w:ind w:left="1418" w:hanging="284"/>
    </w:pPr>
    <w:rPr>
      <w:rFonts w:eastAsia="t"/>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2023-02-07T05:34:00Z</dcterms:created>
  <dcterms:modified xsi:type="dcterms:W3CDTF">2023-04-06T06:29:00Z</dcterms:modified>
</cp:coreProperties>
</file>